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50" w:type="dxa"/>
        <w:shd w:val="clear" w:color="auto" w:fill="FFFFFF"/>
        <w:tblCellMar>
          <w:left w:w="0" w:type="dxa"/>
          <w:right w:w="0" w:type="dxa"/>
        </w:tblCellMar>
        <w:tblLook w:val="04A0" w:firstRow="1" w:lastRow="0" w:firstColumn="1" w:lastColumn="0" w:noHBand="0" w:noVBand="1"/>
      </w:tblPr>
      <w:tblGrid>
        <w:gridCol w:w="3345"/>
        <w:gridCol w:w="3344"/>
        <w:gridCol w:w="3361"/>
      </w:tblGrid>
      <w:tr w:rsidR="00A53359" w:rsidRPr="00A53359" w:rsidTr="00A53359">
        <w:trPr>
          <w:trHeight w:val="315"/>
        </w:trPr>
        <w:tc>
          <w:tcPr>
            <w:tcW w:w="2925" w:type="dxa"/>
            <w:shd w:val="clear" w:color="auto" w:fill="FFFFFF"/>
            <w:vAlign w:val="center"/>
            <w:hideMark/>
          </w:tcPr>
          <w:p w:rsidR="00A53359" w:rsidRPr="00A53359" w:rsidRDefault="00A53359" w:rsidP="00A53359">
            <w:pPr>
              <w:spacing w:after="150" w:line="240" w:lineRule="auto"/>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1 Ekim 2019 SALI</w:t>
            </w:r>
          </w:p>
        </w:tc>
        <w:tc>
          <w:tcPr>
            <w:tcW w:w="2925" w:type="dxa"/>
            <w:shd w:val="clear" w:color="auto" w:fill="FFFFFF"/>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inherit" w:eastAsia="Times New Roman" w:hAnsi="inherit" w:cs="Times New Roman"/>
                <w:b/>
                <w:bCs/>
                <w:color w:val="800080"/>
                <w:sz w:val="18"/>
                <w:szCs w:val="18"/>
                <w:lang w:eastAsia="tr-TR"/>
              </w:rPr>
              <w:t>Resmî Gazete</w:t>
            </w:r>
          </w:p>
        </w:tc>
        <w:tc>
          <w:tcPr>
            <w:tcW w:w="2925" w:type="dxa"/>
            <w:shd w:val="clear" w:color="auto" w:fill="FFFFFF"/>
            <w:vAlign w:val="center"/>
            <w:hideMark/>
          </w:tcPr>
          <w:p w:rsidR="00A53359" w:rsidRPr="00A53359" w:rsidRDefault="00A53359" w:rsidP="00A53359">
            <w:pPr>
              <w:spacing w:after="150" w:line="240" w:lineRule="auto"/>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Sayı : 30905</w:t>
            </w:r>
          </w:p>
        </w:tc>
      </w:tr>
      <w:tr w:rsidR="00A53359" w:rsidRPr="00A53359" w:rsidTr="00A53359">
        <w:trPr>
          <w:trHeight w:val="480"/>
        </w:trPr>
        <w:tc>
          <w:tcPr>
            <w:tcW w:w="8790" w:type="dxa"/>
            <w:gridSpan w:val="3"/>
            <w:shd w:val="clear" w:color="auto" w:fill="FFFFFF"/>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inherit" w:eastAsia="Times New Roman" w:hAnsi="inherit" w:cs="Times New Roman"/>
                <w:b/>
                <w:bCs/>
                <w:color w:val="0000FF"/>
                <w:sz w:val="18"/>
                <w:szCs w:val="18"/>
                <w:lang w:eastAsia="tr-TR"/>
              </w:rPr>
              <w:t>YÖNETMELİK</w:t>
            </w:r>
          </w:p>
        </w:tc>
      </w:tr>
    </w:tbl>
    <w:p w:rsidR="00A53359" w:rsidRPr="00A53359" w:rsidRDefault="00A53359" w:rsidP="00A53359">
      <w:pPr>
        <w:shd w:val="clear" w:color="auto" w:fill="FFFFFF"/>
        <w:spacing w:after="150" w:line="240" w:lineRule="auto"/>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Sağlık Bakanlığından:</w:t>
      </w:r>
    </w:p>
    <w:p w:rsidR="00A53359" w:rsidRPr="00A53359" w:rsidRDefault="00A53359" w:rsidP="00A53359">
      <w:pPr>
        <w:shd w:val="clear" w:color="auto" w:fill="FFFFFF"/>
        <w:spacing w:after="150" w:line="240" w:lineRule="auto"/>
        <w:jc w:val="center"/>
        <w:rPr>
          <w:rFonts w:ascii="Verdana" w:eastAsia="Times New Roman" w:hAnsi="Verdana" w:cs="Times New Roman"/>
          <w:color w:val="0F0F0F"/>
          <w:sz w:val="18"/>
          <w:szCs w:val="18"/>
          <w:lang w:eastAsia="tr-TR"/>
        </w:rPr>
      </w:pPr>
      <w:r w:rsidRPr="00A53359">
        <w:rPr>
          <w:rFonts w:ascii="Verdana" w:eastAsia="Times New Roman" w:hAnsi="Verdana" w:cs="Times New Roman"/>
          <w:b/>
          <w:bCs/>
          <w:color w:val="000000"/>
          <w:sz w:val="18"/>
          <w:szCs w:val="18"/>
          <w:lang w:eastAsia="tr-TR"/>
        </w:rPr>
        <w:t>AYAKTA TEŞHİS VE TEDAVİ YAPILAN ÖZEL SAĞLIK KURULUŞLARI</w:t>
      </w:r>
      <w:r w:rsidRPr="00A53359">
        <w:rPr>
          <w:rFonts w:ascii="inherit" w:eastAsia="Times New Roman" w:hAnsi="inherit" w:cs="Times New Roman"/>
          <w:b/>
          <w:bCs/>
          <w:color w:val="0F0F0F"/>
          <w:sz w:val="18"/>
          <w:szCs w:val="18"/>
          <w:lang w:eastAsia="tr-TR"/>
        </w:rPr>
        <w:br/>
      </w:r>
      <w:r w:rsidRPr="00A53359">
        <w:rPr>
          <w:rFonts w:ascii="Verdana" w:eastAsia="Times New Roman" w:hAnsi="Verdana" w:cs="Times New Roman"/>
          <w:b/>
          <w:bCs/>
          <w:color w:val="000000"/>
          <w:sz w:val="18"/>
          <w:szCs w:val="18"/>
          <w:lang w:eastAsia="tr-TR"/>
        </w:rPr>
        <w:t>HAKKINDA YÖNETMELİKTE DEĞİŞİKLİK YAPILMASINA</w:t>
      </w:r>
      <w:r w:rsidRPr="00A53359">
        <w:rPr>
          <w:rFonts w:ascii="inherit" w:eastAsia="Times New Roman" w:hAnsi="inherit" w:cs="Times New Roman"/>
          <w:b/>
          <w:bCs/>
          <w:color w:val="0F0F0F"/>
          <w:sz w:val="18"/>
          <w:szCs w:val="18"/>
          <w:lang w:eastAsia="tr-TR"/>
        </w:rPr>
        <w:br/>
      </w:r>
      <w:r w:rsidRPr="00A53359">
        <w:rPr>
          <w:rFonts w:ascii="Verdana" w:eastAsia="Times New Roman" w:hAnsi="Verdana" w:cs="Times New Roman"/>
          <w:b/>
          <w:bCs/>
          <w:color w:val="000000"/>
          <w:sz w:val="18"/>
          <w:szCs w:val="18"/>
          <w:lang w:eastAsia="tr-TR"/>
        </w:rPr>
        <w:t>DAİR YÖNETMELİK</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inherit" w:eastAsia="Times New Roman" w:hAnsi="inherit" w:cs="Times New Roman"/>
          <w:b/>
          <w:bCs/>
          <w:color w:val="000000"/>
          <w:sz w:val="18"/>
          <w:szCs w:val="18"/>
          <w:lang w:eastAsia="tr-TR"/>
        </w:rPr>
        <w:t>MADDE 1 –</w:t>
      </w:r>
      <w:r w:rsidRPr="00A53359">
        <w:rPr>
          <w:rFonts w:ascii="Verdana" w:eastAsia="Times New Roman" w:hAnsi="Verdana" w:cs="Times New Roman"/>
          <w:color w:val="000000"/>
          <w:sz w:val="18"/>
          <w:szCs w:val="18"/>
          <w:lang w:eastAsia="tr-TR"/>
        </w:rPr>
        <w:t> 15/2/2008 tarihli ve 26788 sayılı Resmî Gazete’de yayımlanan Ayakta Teşhis ve Tedavi Yapılan Özel Sağlık Kuruluşları Hakkında Yönetmeliğin 2 nci maddesi aşağıdaki şekilde değiştirilmiştir.</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w:t>
      </w:r>
      <w:r w:rsidRPr="00A53359">
        <w:rPr>
          <w:rFonts w:ascii="inherit" w:eastAsia="Times New Roman" w:hAnsi="inherit" w:cs="Times New Roman"/>
          <w:b/>
          <w:bCs/>
          <w:color w:val="000000"/>
          <w:sz w:val="18"/>
          <w:szCs w:val="18"/>
          <w:lang w:eastAsia="tr-TR"/>
        </w:rPr>
        <w:t>MADDE 2 –</w:t>
      </w:r>
      <w:r w:rsidRPr="00A53359">
        <w:rPr>
          <w:rFonts w:ascii="Verdana" w:eastAsia="Times New Roman" w:hAnsi="Verdana" w:cs="Times New Roman"/>
          <w:color w:val="000000"/>
          <w:sz w:val="18"/>
          <w:szCs w:val="18"/>
          <w:lang w:eastAsia="tr-TR"/>
        </w:rPr>
        <w:t> (1) Bu Yönetmelik, ayakta teşhis ve tedavi hizmeti sunulan ve özel sağlık kuruluşu olarak tanımlanan tıp merkezleri, poliklinikler, laboratuvarlar, müesseseler ve muayenehaneler ile bu kuruluşların işletenlerini kapsar.”</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inherit" w:eastAsia="Times New Roman" w:hAnsi="inherit" w:cs="Times New Roman"/>
          <w:b/>
          <w:bCs/>
          <w:color w:val="000000"/>
          <w:sz w:val="18"/>
          <w:szCs w:val="18"/>
          <w:lang w:eastAsia="tr-TR"/>
        </w:rPr>
        <w:t>MADDE 2 – </w:t>
      </w:r>
      <w:r w:rsidRPr="00A53359">
        <w:rPr>
          <w:rFonts w:ascii="Verdana" w:eastAsia="Times New Roman" w:hAnsi="Verdana" w:cs="Times New Roman"/>
          <w:color w:val="000000"/>
          <w:sz w:val="18"/>
          <w:szCs w:val="18"/>
          <w:lang w:eastAsia="tr-TR"/>
        </w:rPr>
        <w:t>Aynı Yönetmeliğin 3 üncü maddesinde yer alan “11/10/2011 tarihli ve 663 sayılı Sağlık Bakanlığı ve Bağlı Kuruluşlarının Teşkilat ve Görevleri Hakkında Kanun Hükmünde Kararnamenin 40 ıncı maddesine” ibaresi “10/7/2018 tarihli ve 30474 sayılı Resmî Gazete’de yayımlanan 1 sayılı Cumhurbaşkanlığı Teşkilatı Hakkında Cumhurbaşkanlığı Kararnamesinin 355 inci maddesinin birinci fıkrasının (a) ve (c) bentleri ile 508 inci maddesine” olarak değiştirilmiştir.</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inherit" w:eastAsia="Times New Roman" w:hAnsi="inherit" w:cs="Times New Roman"/>
          <w:b/>
          <w:bCs/>
          <w:color w:val="000000"/>
          <w:sz w:val="18"/>
          <w:szCs w:val="18"/>
          <w:lang w:eastAsia="tr-TR"/>
        </w:rPr>
        <w:t>MADDE 3 –</w:t>
      </w:r>
      <w:r w:rsidRPr="00A53359">
        <w:rPr>
          <w:rFonts w:ascii="Verdana" w:eastAsia="Times New Roman" w:hAnsi="Verdana" w:cs="Times New Roman"/>
          <w:color w:val="000000"/>
          <w:sz w:val="18"/>
          <w:szCs w:val="18"/>
          <w:lang w:eastAsia="tr-TR"/>
        </w:rPr>
        <w:t> Aynı Yönetmeliğin 4 üncü maddesinin birinci fıkrasının (ğ) bendine aşağıdaki alt bentler eklenmiştir.</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“1) Tıp merkezi: Bu Yönetmelikte tanımlanan asgari personel ve bina şartlarını sağlayarak Bakanlıkça ruhsatlandırılan ayakta teşhis ve tedavi hizmeti sunan sağlık kuruluşlarını,</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2) A tipi poliklinik: Bu Yönetmelikte tanımlanan açmaya yetkili kişiler tarafından asgari personel ve bina şartlarını sağlayarak Bakanlıkça ruhsatlandırılan ayakta teşhis ve tedavi hizmeti sunan poliklinikleri,</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3) B tipi poliklinik: Bu Yönetmeliğin geçici 2 nci maddesinin birinci fıkrası hükmünce 9/3/2000 tarihli ve 23988 sayılı Resmî Gazete’de yayımlanan mülga Ayakta Teşhis ve Tedavi Yapılan Özel Sağlık Kuruluşları Hakkında Yönetmeliğe göre açılarak faaliyet gösteren ayakta teşhis ve tedavi hizmeti sunan poliklinikleri, </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4) Laboratuvar: 9/10/2013 tarihli ve 28790 sayılı Resmî Gazete’de yayımlanan Tıbbi Laboratuvarlar Yönetmeliğine göre ruhsatlandırılmış laboratuvarları,</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5) Müessese: 3153 sayılı Radiyoloji, Radiyom ve Elektrikle Tedavi ve Diğer Fizyoterapi Müesseseleri Hakkında Kanun kapsamında görüntüleme ve/veya radyoterapi, nükleer tıp, fizik tedavi gibi ayaktan muayene, tanı ve/veya tedavi hizmeti sunan sağlık kuruluşlarını,”</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inherit" w:eastAsia="Times New Roman" w:hAnsi="inherit" w:cs="Times New Roman"/>
          <w:b/>
          <w:bCs/>
          <w:color w:val="000000"/>
          <w:sz w:val="18"/>
          <w:szCs w:val="18"/>
          <w:lang w:eastAsia="tr-TR"/>
        </w:rPr>
        <w:t>MADDE 4 –</w:t>
      </w:r>
      <w:r w:rsidRPr="00A53359">
        <w:rPr>
          <w:rFonts w:ascii="Verdana" w:eastAsia="Times New Roman" w:hAnsi="Verdana" w:cs="Times New Roman"/>
          <w:color w:val="000000"/>
          <w:sz w:val="18"/>
          <w:szCs w:val="18"/>
          <w:lang w:eastAsia="tr-TR"/>
        </w:rPr>
        <w:t> Aynı Yönetmeliğin mülga 5 inci maddesi aşağıdaki şekilde yeniden düzenlenmiştir.</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w:t>
      </w:r>
      <w:r w:rsidRPr="00A53359">
        <w:rPr>
          <w:rFonts w:ascii="inherit" w:eastAsia="Times New Roman" w:hAnsi="inherit" w:cs="Times New Roman"/>
          <w:b/>
          <w:bCs/>
          <w:color w:val="000000"/>
          <w:sz w:val="18"/>
          <w:szCs w:val="18"/>
          <w:lang w:eastAsia="tr-TR"/>
        </w:rPr>
        <w:t>MADDE 5 –</w:t>
      </w:r>
      <w:r w:rsidRPr="00A53359">
        <w:rPr>
          <w:rFonts w:ascii="Verdana" w:eastAsia="Times New Roman" w:hAnsi="Verdana" w:cs="Times New Roman"/>
          <w:color w:val="000000"/>
          <w:sz w:val="18"/>
          <w:szCs w:val="18"/>
          <w:lang w:eastAsia="tr-TR"/>
        </w:rPr>
        <w:t> (1) Bu Yönetmelik kapsamında ayakta teşhis ve tedavi yapılan özel sağlık kuruluşları; tanı ve tedavi merkezleri, tedavi merkezleri, tanı merkezleri ve muayenehaneler olarak dört gruba ayrılır.</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(2) Tanı ve tedavi merkezleri aşağıdaki şekilde sınıflandırılır:</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a) Tıp merkezleri.</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b) Poliklinikler:</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1) A tipi poliklinikler.</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2) B tipi poliklinikler.</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(3) Tedavi merkezleri aşağıdaki şekilde sınıflandırılır:</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a) Fizik tedavi ve rehabilitasyon müesseseleri.</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b) Radyoterapi müesseseleri.</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(4) Tanı merkezleri aşağıdaki şekilde sınıflandırılır:</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a) Tıbbi laboratuvarlar.</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lastRenderedPageBreak/>
        <w:t>b) Radyoloji müesseseleri.</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c) Nükleer tıp müesseseleri.”</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inherit" w:eastAsia="Times New Roman" w:hAnsi="inherit" w:cs="Times New Roman"/>
          <w:b/>
          <w:bCs/>
          <w:color w:val="000000"/>
          <w:sz w:val="18"/>
          <w:szCs w:val="18"/>
          <w:lang w:eastAsia="tr-TR"/>
        </w:rPr>
        <w:t>MADDE 5 –</w:t>
      </w:r>
      <w:r w:rsidRPr="00A53359">
        <w:rPr>
          <w:rFonts w:ascii="Verdana" w:eastAsia="Times New Roman" w:hAnsi="Verdana" w:cs="Times New Roman"/>
          <w:color w:val="000000"/>
          <w:sz w:val="18"/>
          <w:szCs w:val="18"/>
          <w:lang w:eastAsia="tr-TR"/>
        </w:rPr>
        <w:t> Aynı Yönetmeliğin 6 ncı maddesi başlığıyla birlikte aşağıdaki şekilde değiştirilmiştir.</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w:t>
      </w:r>
      <w:r w:rsidRPr="00A53359">
        <w:rPr>
          <w:rFonts w:ascii="inherit" w:eastAsia="Times New Roman" w:hAnsi="inherit" w:cs="Times New Roman"/>
          <w:b/>
          <w:bCs/>
          <w:color w:val="000000"/>
          <w:sz w:val="18"/>
          <w:szCs w:val="18"/>
          <w:lang w:eastAsia="tr-TR"/>
        </w:rPr>
        <w:t>Tıp merkezlerinin temel özellikleri ve kadroları</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inherit" w:eastAsia="Times New Roman" w:hAnsi="inherit" w:cs="Times New Roman"/>
          <w:b/>
          <w:bCs/>
          <w:color w:val="000000"/>
          <w:sz w:val="18"/>
          <w:szCs w:val="18"/>
          <w:lang w:eastAsia="tr-TR"/>
        </w:rPr>
        <w:t>MADDE 6 – </w:t>
      </w:r>
      <w:r w:rsidRPr="00A53359">
        <w:rPr>
          <w:rFonts w:ascii="Verdana" w:eastAsia="Times New Roman" w:hAnsi="Verdana" w:cs="Times New Roman"/>
          <w:color w:val="000000"/>
          <w:sz w:val="18"/>
          <w:szCs w:val="18"/>
          <w:lang w:eastAsia="tr-TR"/>
        </w:rPr>
        <w:t>(1) Tıp merkezleri bu Yönetmelikte asgari olarak öngörülen bina, hizmet ve personel standartlarına haiz olmak kaydıyla, sekiz saatten az olmamak üzere ruhsatlarında belirlenen sürede veya yirmi dört saat süreyle sürekli ve düzenli olarak hizmet verir.</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(2) Tıp merkezleri en az iki farklı uzmanlık dalında olmak üzere en az on uzman hekim kadrosuyla açılır.</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(3) Tıp merkezlerinin uzman hekim kadroları, Bakanlıkça oluşturulan elektronik sisteme kaydedilir. Bu merkezlere verilecek yeni kadrolar, hekim ayrılış ve başlayışları bu sistem üzerinden yürütülür.</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(4) Tıp merkezlerinin uzman tabip kadroları, Bakanlıkça belirlenen sağlık hizmet bölgelerine göre sağlık tesisi, sağlık insan gücü, tabip/uzman tabip sayısı ile hizmet ihtiyacı dikkate alınarak yapılan planlamalara göre Bakanlıkça belirlenir ve ilan edilir.</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(5) Tıp merkezleri Bakanlığın izni ile; planlama kapsamındaki ünite ve merkezleri ilgili mevzuatına uygun olmak kaydıyla başka bir tıp merkezine veya özel hastaneye devredebilir. Tıp merkezleri kendi aralarında veya özel hastaneler ile karşılıklı kadro değişimi yapabilir. Ancak il dışına ünite ve merkez devri ile karşılıklı kadro değişimi, Bakanlık planlamalarına uygun bulunması halinde yapılabilir.”</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inherit" w:eastAsia="Times New Roman" w:hAnsi="inherit" w:cs="Times New Roman"/>
          <w:b/>
          <w:bCs/>
          <w:color w:val="000000"/>
          <w:sz w:val="18"/>
          <w:szCs w:val="18"/>
          <w:lang w:eastAsia="tr-TR"/>
        </w:rPr>
        <w:t>MADDE 6 –</w:t>
      </w:r>
      <w:r w:rsidRPr="00A53359">
        <w:rPr>
          <w:rFonts w:ascii="Verdana" w:eastAsia="Times New Roman" w:hAnsi="Verdana" w:cs="Times New Roman"/>
          <w:color w:val="000000"/>
          <w:sz w:val="18"/>
          <w:szCs w:val="18"/>
          <w:lang w:eastAsia="tr-TR"/>
        </w:rPr>
        <w:t> Aynı Yönetmeliğin 8 inci maddesinin birinci fıkrasında yer alan “A ve B tipi tıp merkezleri” ibaresi “Tıp merkezi” olarak değiştirilmiş ve aynı fıkranın son cümlesi yürürlükten kaldırılmıştır.</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inherit" w:eastAsia="Times New Roman" w:hAnsi="inherit" w:cs="Times New Roman"/>
          <w:b/>
          <w:bCs/>
          <w:color w:val="000000"/>
          <w:sz w:val="18"/>
          <w:szCs w:val="18"/>
          <w:lang w:eastAsia="tr-TR"/>
        </w:rPr>
        <w:t>MADDE 7 –</w:t>
      </w:r>
      <w:r w:rsidRPr="00A53359">
        <w:rPr>
          <w:rFonts w:ascii="Verdana" w:eastAsia="Times New Roman" w:hAnsi="Verdana" w:cs="Times New Roman"/>
          <w:color w:val="000000"/>
          <w:sz w:val="18"/>
          <w:szCs w:val="18"/>
          <w:lang w:eastAsia="tr-TR"/>
        </w:rPr>
        <w:t> Aynı Yönetmeliğin 10 uncu maddesinin birinci fıkrasında yer alan “A tipi tıp merkezi” ibaresi “Tıp merkezi” olarak ve üçüncü fıkrası aşağıdaki şekilde değiştirilmiştir.</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“(3) Tıp merkezlerinde birinci fıkranın (ç) bendinde istenen otoparka ilave olarak acil ünitesi veya poliklinik önünde acil ve poliklinik hastalarına yönelik, trafiği engellemeyecek şekilde en az üç adet araç bekleme alanı oluşturulması zorunludur. Hasta ve hasta yakınlarının araçlarının otoparka nakli hususunda gerekli tedbirler alınarak hizmet sunulur.”</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inherit" w:eastAsia="Times New Roman" w:hAnsi="inherit" w:cs="Times New Roman"/>
          <w:b/>
          <w:bCs/>
          <w:color w:val="000000"/>
          <w:sz w:val="18"/>
          <w:szCs w:val="18"/>
          <w:lang w:eastAsia="tr-TR"/>
        </w:rPr>
        <w:t>MADDE 8 – </w:t>
      </w:r>
      <w:r w:rsidRPr="00A53359">
        <w:rPr>
          <w:rFonts w:ascii="Verdana" w:eastAsia="Times New Roman" w:hAnsi="Verdana" w:cs="Times New Roman"/>
          <w:color w:val="000000"/>
          <w:sz w:val="18"/>
          <w:szCs w:val="18"/>
          <w:lang w:eastAsia="tr-TR"/>
        </w:rPr>
        <w:t>Aynı Yönetmeliğin 11 inci maddesinin başlığında yer alan “A ve B Tipi” ibaresi ile aynı maddede yer alan “A ve B tipi” ibareleri yürürlükten kaldırılmıştır.</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inherit" w:eastAsia="Times New Roman" w:hAnsi="inherit" w:cs="Times New Roman"/>
          <w:b/>
          <w:bCs/>
          <w:color w:val="000000"/>
          <w:sz w:val="18"/>
          <w:szCs w:val="18"/>
          <w:lang w:eastAsia="tr-TR"/>
        </w:rPr>
        <w:t>MADDE 9 –</w:t>
      </w:r>
      <w:r w:rsidRPr="00A53359">
        <w:rPr>
          <w:rFonts w:ascii="Verdana" w:eastAsia="Times New Roman" w:hAnsi="Verdana" w:cs="Times New Roman"/>
          <w:color w:val="000000"/>
          <w:sz w:val="18"/>
          <w:szCs w:val="18"/>
          <w:lang w:eastAsia="tr-TR"/>
        </w:rPr>
        <w:t> Aynı Yönetmeliğin 12 nci maddesinin birinci fıkrası aşağıdaki şekilde değiştirilmiştir.</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“(1) Tıp merkezi müstakil binalarda kurulur. Ancak tıp merkezi binasının toplam kapalı alanı iki bin metrekareden küçük olamaz.”</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inherit" w:eastAsia="Times New Roman" w:hAnsi="inherit" w:cs="Times New Roman"/>
          <w:b/>
          <w:bCs/>
          <w:color w:val="000000"/>
          <w:sz w:val="18"/>
          <w:szCs w:val="18"/>
          <w:lang w:eastAsia="tr-TR"/>
        </w:rPr>
        <w:t>MADDE 10 –</w:t>
      </w:r>
      <w:r w:rsidRPr="00A53359">
        <w:rPr>
          <w:rFonts w:ascii="Verdana" w:eastAsia="Times New Roman" w:hAnsi="Verdana" w:cs="Times New Roman"/>
          <w:color w:val="000000"/>
          <w:sz w:val="18"/>
          <w:szCs w:val="18"/>
          <w:lang w:eastAsia="tr-TR"/>
        </w:rPr>
        <w:t> Aynı Yönetmeliğin 12/A maddesinin başlığı “Tıp merkezlerinin zorunlu tıbbi hizmet birimleri” olarak değiştirilmiş, aynı maddede yer alan “A ve B tipi” ibareleri yürürlükten kaldırılmış, aynı maddenin birinci fıkrasının (ç) ve (e) bentleri aşağıdaki şekilde değiştirilmiştir.</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“ç) Gözlem yatağı: Tıp merkezlerinde; ilgili dal uzmanının hastayı gözlem altına alarak takip edebileceği en fazla 25 yatak olacak şekilde gözlem yatağı bulunur. Gözlem yataklarının, pozisyon alabilen, koruma barları olan ve her yöne hareketli tekerlekli özellikte olması gerekir. Gözlem yataklarının hasta başı monitörizasyon ve merkezi tıbbî gaz sistemi bulunur. Gözlem yataklarının, doğrudan ve yeterli gün ışığı ile aydınlanabilecek konumda, taban ve duvarlarının düzgün ve kolay temizlenebilecek nitelikte ve dezenfeksiyona elverişli alanlarda olmaları şarttır. Yeterli gün ışığı almayan, ziyaretçilerin ve hastane personelinin yoğun kullandığı, hastanın sıhhat ve istirahatını olumsuz tarzda etkileyecek mekânlarda gözlem yatağı olamaz. Gözlem yataklarının bulunduğu ünite veya odaların kapı genişliği en az bir metre on santimetre olmalı,  tuvalet ve banyo kapıları dışa açılacak şekilde düzenlenmelidir. Gözlem yatakları tıp merkezi bünyesinde gözlem ünitesi veya gözlem odalarında bulunur:</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1) Gözlem ünitesi: Yatak başına en az dokuz metrekare alanı olan, en fazla sekiz gözlem yatağı bulunan, yataklar arası uygun biçimde ayrılabilen, içinde lavabosu ile  hemşire istasyonu bulunan ve  belirlenen asgarî tıbbî malzeme, donanım ve ilaçların bulunduğu  gözlem ünitesi şeklinde olmalıdır.</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 xml:space="preserve">2) Gözlem odası: Islak zeminler hariç olmak üzere hasta yatağı başına; tek yataklı gözlem odaları en az dokuz metrekare, iki yataklı odalar, hasta yatağı başına en az yedi metrekare alana sahip olmalıdır. </w:t>
      </w:r>
      <w:r w:rsidRPr="00A53359">
        <w:rPr>
          <w:rFonts w:ascii="Verdana" w:eastAsia="Times New Roman" w:hAnsi="Verdana" w:cs="Times New Roman"/>
          <w:color w:val="000000"/>
          <w:sz w:val="18"/>
          <w:szCs w:val="18"/>
          <w:lang w:eastAsia="tr-TR"/>
        </w:rPr>
        <w:lastRenderedPageBreak/>
        <w:t>Bir gözlem odasında ikiden fazla hasta yatağı bulunamaz. Hastalara anında ulaşabilmek ve hasta bakımını sağlamak üzere;  gözlem odalarının bulunduğu katlarda, koridor ve hasta odalarına hakim bir konumda lavabosu ve ilaç hazırlama alanı bulunan ve koridorun genişliğini etkilemeyecek şekilde, en az bir hemşire istasyonu kurulması şarttır. Ayrıca hemşire istasyonunda, her hasta odası ile bağlantısı olan hasta çağrı sistemi bulunur. Gözlem odalarının bulunduğu katta gözlem altındaki hastaların muayene ve tedavilerinin yapıldığı servis muayene odası veya bölümü düzenlenebilir.”</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“e) Tıp merkezlerinin bünyesinde Tıbbi Laboratuvarlar Yönetmeliğine göre açılmış asgari basit hizmet laboratuvarı bulunmalıdır. Talep edilmesi halinde mezkûr Yönetmelik hükümlerine göre kapsamlı hizmet laboratuvarı da kurulabilir.”</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inherit" w:eastAsia="Times New Roman" w:hAnsi="inherit" w:cs="Times New Roman"/>
          <w:b/>
          <w:bCs/>
          <w:color w:val="000000"/>
          <w:sz w:val="18"/>
          <w:szCs w:val="18"/>
          <w:lang w:eastAsia="tr-TR"/>
        </w:rPr>
        <w:t>MADDE 11 –</w:t>
      </w:r>
      <w:r w:rsidRPr="00A53359">
        <w:rPr>
          <w:rFonts w:ascii="Verdana" w:eastAsia="Times New Roman" w:hAnsi="Verdana" w:cs="Times New Roman"/>
          <w:color w:val="000000"/>
          <w:sz w:val="18"/>
          <w:szCs w:val="18"/>
          <w:lang w:eastAsia="tr-TR"/>
        </w:rPr>
        <w:t> Aynı Yönetmeliğin 12/B maddesinin birinci fıkrasında yer alan “A ve B tipi” ibaresi yürürlükten kaldırılmıştır.</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inherit" w:eastAsia="Times New Roman" w:hAnsi="inherit" w:cs="Times New Roman"/>
          <w:b/>
          <w:bCs/>
          <w:color w:val="000000"/>
          <w:sz w:val="18"/>
          <w:szCs w:val="18"/>
          <w:lang w:eastAsia="tr-TR"/>
        </w:rPr>
        <w:t>MADDE 12 –</w:t>
      </w:r>
      <w:r w:rsidRPr="00A53359">
        <w:rPr>
          <w:rFonts w:ascii="Verdana" w:eastAsia="Times New Roman" w:hAnsi="Verdana" w:cs="Times New Roman"/>
          <w:color w:val="000000"/>
          <w:sz w:val="18"/>
          <w:szCs w:val="18"/>
          <w:lang w:eastAsia="tr-TR"/>
        </w:rPr>
        <w:t> Aynı Yönetmeliğin 12/C maddesinin başlığı “Tıp merkezlerinde ısıtma, havalandırma, aydınlatma ve diğer alanlar” olarak değiştirilmiş, aynı maddede yer alan “A ve B tipi” ibareleri yürürlükten kaldırılmıştır.</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inherit" w:eastAsia="Times New Roman" w:hAnsi="inherit" w:cs="Times New Roman"/>
          <w:b/>
          <w:bCs/>
          <w:color w:val="000000"/>
          <w:sz w:val="18"/>
          <w:szCs w:val="18"/>
          <w:lang w:eastAsia="tr-TR"/>
        </w:rPr>
        <w:t>MADDE 13 –</w:t>
      </w:r>
      <w:r w:rsidRPr="00A53359">
        <w:rPr>
          <w:rFonts w:ascii="Verdana" w:eastAsia="Times New Roman" w:hAnsi="Verdana" w:cs="Times New Roman"/>
          <w:color w:val="000000"/>
          <w:sz w:val="18"/>
          <w:szCs w:val="18"/>
          <w:lang w:eastAsia="tr-TR"/>
        </w:rPr>
        <w:t> Aynı Yönetmeliğin 13 üncü maddesinin sekizinci fıkrasında yer alan  “A ve B tipi tıp merkezlerine” ibaresi “Tıp merkezlerine” olarak değiştirilmiş, aynı maddenin dokuzuncu fıkrasında yer alan “A ve B tipi” ibaresi yürürlükten kaldırılmıştır.</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inherit" w:eastAsia="Times New Roman" w:hAnsi="inherit" w:cs="Times New Roman"/>
          <w:b/>
          <w:bCs/>
          <w:color w:val="000000"/>
          <w:sz w:val="18"/>
          <w:szCs w:val="18"/>
          <w:lang w:eastAsia="tr-TR"/>
        </w:rPr>
        <w:t>MADDE 14 –</w:t>
      </w:r>
      <w:r w:rsidRPr="00A53359">
        <w:rPr>
          <w:rFonts w:ascii="Verdana" w:eastAsia="Times New Roman" w:hAnsi="Verdana" w:cs="Times New Roman"/>
          <w:color w:val="000000"/>
          <w:sz w:val="18"/>
          <w:szCs w:val="18"/>
          <w:lang w:eastAsia="tr-TR"/>
        </w:rPr>
        <w:t> Aynı Yönetmeliğin 17 nci maddesinin ikinci fıkrasının birinci cümlesi aşağıdaki şekilde değiştirilmiştir.</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“Tabibin/uzman tabibin çalışma belgesinin, poliklinik odasında hastaların rahatlıkla görebileceği  bir yere asılması gerekir.”</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inherit" w:eastAsia="Times New Roman" w:hAnsi="inherit" w:cs="Times New Roman"/>
          <w:b/>
          <w:bCs/>
          <w:color w:val="000000"/>
          <w:sz w:val="18"/>
          <w:szCs w:val="18"/>
          <w:lang w:eastAsia="tr-TR"/>
        </w:rPr>
        <w:t>MADDE 15 –</w:t>
      </w:r>
      <w:r w:rsidRPr="00A53359">
        <w:rPr>
          <w:rFonts w:ascii="Verdana" w:eastAsia="Times New Roman" w:hAnsi="Verdana" w:cs="Times New Roman"/>
          <w:color w:val="000000"/>
          <w:sz w:val="18"/>
          <w:szCs w:val="18"/>
          <w:lang w:eastAsia="tr-TR"/>
        </w:rPr>
        <w:t> Aynı Yönetmeliğin 19 uncu maddesinin dördüncü fıkrası aşağıdaki şekilde değiştirilmiştir.</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“(4) Çalışan uzman tabip sayısı 10 (on)’un altına düşen tıp merkezinin üç ay içinde uzman eksikliğini giderememesi halinde üç ay daha ek süre verilir. Verilen ek süre sonunda uzman eksikliğinin giderilememesi halinde ruhsatnamesi en fazla iki yıl süreyle askıya alınır. Bu süre sonunda uzman eksikliğini gideremeyen tıp merkezinin ruhsatnamesi iptal edilir. Askı süresi içerisinde veya süre sonunda işletenin talebi halinde kuruluş polikliniğe çevrilebilir. Askıya alınma tarihinden itibaren iki yıl içinde uzman eksikliği giderilir ise tıp merkezi yeniden faaliyete geçirilir. Ruhsatın askıya alınması ve tekrar faaliyete geçirilmesi işlemi müdürlükçe yapılır ve Bakanlığa bilgi verilir.”</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inherit" w:eastAsia="Times New Roman" w:hAnsi="inherit" w:cs="Times New Roman"/>
          <w:b/>
          <w:bCs/>
          <w:color w:val="000000"/>
          <w:sz w:val="18"/>
          <w:szCs w:val="18"/>
          <w:lang w:eastAsia="tr-TR"/>
        </w:rPr>
        <w:t>MADDE 16 –</w:t>
      </w:r>
      <w:r w:rsidRPr="00A53359">
        <w:rPr>
          <w:rFonts w:ascii="Verdana" w:eastAsia="Times New Roman" w:hAnsi="Verdana" w:cs="Times New Roman"/>
          <w:color w:val="000000"/>
          <w:sz w:val="18"/>
          <w:szCs w:val="18"/>
          <w:lang w:eastAsia="tr-TR"/>
        </w:rPr>
        <w:t> Aynı Yönetmeliğin 21 inci maddesinin ikinci fıkrasının (a) bendinde yer alan “A ve B tipi tıp merkezlerinde” ibaresi yürürlükten kaldırılmıştır.</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inherit" w:eastAsia="Times New Roman" w:hAnsi="inherit" w:cs="Times New Roman"/>
          <w:b/>
          <w:bCs/>
          <w:color w:val="000000"/>
          <w:sz w:val="18"/>
          <w:szCs w:val="18"/>
          <w:lang w:eastAsia="tr-TR"/>
        </w:rPr>
        <w:t>MADDE 17 –</w:t>
      </w:r>
      <w:r w:rsidRPr="00A53359">
        <w:rPr>
          <w:rFonts w:ascii="Verdana" w:eastAsia="Times New Roman" w:hAnsi="Verdana" w:cs="Times New Roman"/>
          <w:color w:val="000000"/>
          <w:sz w:val="18"/>
          <w:szCs w:val="18"/>
          <w:lang w:eastAsia="tr-TR"/>
        </w:rPr>
        <w:t> Aynı Yönetmeliğin 25 inci maddesi aşağıdaki şekilde değiştirilmiştir.</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w:t>
      </w:r>
      <w:r w:rsidRPr="00A53359">
        <w:rPr>
          <w:rFonts w:ascii="inherit" w:eastAsia="Times New Roman" w:hAnsi="inherit" w:cs="Times New Roman"/>
          <w:b/>
          <w:bCs/>
          <w:color w:val="000000"/>
          <w:sz w:val="18"/>
          <w:szCs w:val="18"/>
          <w:lang w:eastAsia="tr-TR"/>
        </w:rPr>
        <w:t>MADDE 25 –</w:t>
      </w:r>
      <w:r w:rsidRPr="00A53359">
        <w:rPr>
          <w:rFonts w:ascii="Verdana" w:eastAsia="Times New Roman" w:hAnsi="Verdana" w:cs="Times New Roman"/>
          <w:color w:val="000000"/>
          <w:sz w:val="18"/>
          <w:szCs w:val="18"/>
          <w:lang w:eastAsia="tr-TR"/>
        </w:rPr>
        <w:t> (1) Tıp merkezlerinin bünyesinde Tıbbi Laboratuvarlar Yönetmeliğine göre açılmış asgari basit hizmet laboratuvarı bulunmalıdır. Talep edilmesi halinde mezkûr Yönetmelik hükümlerine göre kapsamlı hizmet laboratuvarı da kurulabilir. </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(2) Sağlık kuruluşları, uzmanlık dallarının gerektirdiği ileri seviyedeki diğer laboratuvar ve radyoloji tetkikleri için, 992 sayılı Kanun ve 3153 sayılı Kanun hükümlerine göre bünyelerinde laboratuvar kurabilir. Laboratuvar hizmetleri Tıbbi Laboratuvarlar Yönetmeliğine göre yürütülür. Radyoloji hizmetleri ise 3153 sayılı Kanun hükümlerine göre yürütülür.</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(3) Sağlık kuruluşları; ilgili mevzuatı uyarınca müstakil olarak veya özel hastane bünyesinde ruhsatlandırılan veyahut kamu kurum ve kuruluşları bünyesinde kurulan laboratuvarlardan Tıbbi Laboratuvarlar Yönetmeliği hükümlerine uygun olarak hizmet satın alabilir.”</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inherit" w:eastAsia="Times New Roman" w:hAnsi="inherit" w:cs="Times New Roman"/>
          <w:b/>
          <w:bCs/>
          <w:color w:val="000000"/>
          <w:sz w:val="18"/>
          <w:szCs w:val="18"/>
          <w:lang w:eastAsia="tr-TR"/>
        </w:rPr>
        <w:t>MADDE 18 –</w:t>
      </w:r>
      <w:r w:rsidRPr="00A53359">
        <w:rPr>
          <w:rFonts w:ascii="Verdana" w:eastAsia="Times New Roman" w:hAnsi="Verdana" w:cs="Times New Roman"/>
          <w:color w:val="000000"/>
          <w:sz w:val="18"/>
          <w:szCs w:val="18"/>
          <w:lang w:eastAsia="tr-TR"/>
        </w:rPr>
        <w:t> Aynı Yönetmeliğin 34 üncü maddesinin birinci ve sekizinci fıkraları aşağıdaki şekilde değiştirilmiştir.</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“(1) Özel sağlık kuruluşlarının bu Yönetmelik kapsamındaki kişilere devri halinde, EK-1/b’deki belgeler ile birlikte Müdürlüğe başvurulur. Başvuru üzerine, 13 üncü maddeye göre işlem yapılarak yeni işleten adına ruhsatname düzenlenir.”</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“(8) Ruhsatı askıda olan sağlık kuruluşlarının ruhsatları askı süresince sadece bir kez devredilebilir.”</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inherit" w:eastAsia="Times New Roman" w:hAnsi="inherit" w:cs="Times New Roman"/>
          <w:b/>
          <w:bCs/>
          <w:color w:val="000000"/>
          <w:sz w:val="18"/>
          <w:szCs w:val="18"/>
          <w:lang w:eastAsia="tr-TR"/>
        </w:rPr>
        <w:t>MADDE 19 –</w:t>
      </w:r>
      <w:r w:rsidRPr="00A53359">
        <w:rPr>
          <w:rFonts w:ascii="Verdana" w:eastAsia="Times New Roman" w:hAnsi="Verdana" w:cs="Times New Roman"/>
          <w:color w:val="000000"/>
          <w:sz w:val="18"/>
          <w:szCs w:val="18"/>
          <w:lang w:eastAsia="tr-TR"/>
        </w:rPr>
        <w:t> Aynı Yönetmeliğin ek 1 inci maddesinin birinci fıkrasının (a) bendinin beşinci cümlesi ile ikinci, dokuzuncu, on üçüncü, on dördüncü ve on sekizinci fıkraları aşağıdaki şekilde değiştirilmiştir.</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lastRenderedPageBreak/>
        <w:t>“Poliklinikler taşınma talebinde bulundukları takdirde A tipi poliklinik olarak ruhsatlandırılır.”</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“(2) Muayenehaneler hariç planlama kapsamındaki özel sağlık kuruluşlarında çalışan tabip ve diş tabipleri, Bakanlığın istihdam planlamaları gereğince, 1219 sayılı Kanunun 12 nci maddesine uygun olmak kaydıyla kadrolu çalıştığı özel sağlık kuruluşu dışında planlama kapsamındaki iki özel sağlık kuruluşunda daha çalışabilir. Bu kuruluşlardan bir tanesi kadrolu çalıştığı il dışındaki planlama kapsamındaki bir özel sağlık kuruluşu da olabilir.” </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“(9) Tabip eklenmemesi ve uzmanlık dallarıyla ilgili olmak kaydıyla, sağlık kuruluşlarına tıbbî cihaz, tıbbî hizmet birimleri ve alanlar eklenebilir. Ancak Bakanlıkça planlama kapsamına alınmış olan teknoloji yoğunluklu tıbbî cihazların eklenmesine planlama çerçevesinde Bakanlıkça izin verilir. Ayrıca sağlık kuruluşunda kurulmuş ve işletilmekte olan teknoloji yoğunluklu tıbbî cihazlar devir yoluyla aynı il içinde başka bir sağlık kuruluşunda kurdurulabilir. Bulunduğu il dışındaki devirlerde Bakanlıkça izin verilebilir. Bu durumda devreden kuruluşun ruhsatından ilgili tıbbi cihaz çıkarılır.”</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“(13) Birleşme talep tarihi itibarıyla aktif olarak faaliyet gösteren planlama kapsamındaki özel sağlık kuruluşları aynı il sınırları içinde tıp merkezi bünyesinde birleşebilir. Tıp merkezinin bulunduğu il dışındaki başka bir kuruluşla birleşmesi için Bakanlığa başvurulur. Bakanlık başvuruyu planlama ilkeleri çerçevesinde sağlık kuruluşu hizmeti sunulması için öngörülen asgari nüfus ve/veya ilde verilmesi hedeflenen sağlık hizmetleri ile uzman ve tabip dağılımı yönünden daha az yoğunluklu bölgeleri öncelikle dikkate alarak değerlendirir. Başvuru uygun görülür ise Bakanlıkça birleşmeye izin verilir. Birleşme işlemi iki yıl içerisinde tamamlanır. Ancak tıp merkezlerinde birleşerek taşınma söz konusu ise birleşme işlemi birinci fıkranın (a) bendinde belirlenen süre içerisinde tamamlanır. Bu süre içerisinde sağlık kuruluşu, faaliyetine mevcut kapasitesi ile devam edebilir veya faaliyetini askıya alabilir ve Müdürlüğe tebligat adresi bildirerek kuruluş binasını boşaltabilir. Birleşme işlemi tamamlanan özel sağlık kuruluşları tekrar ayrılma talebinde bulunamaz.</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(14) Tıp merkezleri bünyesinde, kendi kadrolarında bulunan deri ve zührevi hastalıklar ile plastik, rekonstrüktif ve estetik cerrahî dallarında uzman tabipler ile Bakanlıkça onaylı medikal estetik sertifikası olan tabiplerce estetik amaçlı sağlık hizmetlerini sunmak amacıyla estetik birimi kurulabilir. Estetik birimi açma başvuruları tıp merkezinin bulunduğu il müdürlüğüne yapılır. Müdürlükçe, açılması uygun görülen birim tıp merkezinin faaliyet izin belgesine ve Bakanlıkça oluşturulan elektronik sisteme işlenir. Estetik biriminde EK-15’te tanımlanan işlemler yapılabilir. Estetik birimi için asgari bu Yönetmelikte poliklinik odası için tanımlanmış fiziki mekân ve asgari tıbbi donanım bulunmak zorundadır.”</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“(18) Özel Sağlık Kuruluşlarında çalışan tabip/uzman tabipler, 1219 sayılı Kanunun 12 nci maddesine uygun olmak kaydıyla, çalıştıkları sağlık kuruluşundaki çalışma saatleri dışında bir özel hastanenin acil servis, klinik servis ve ünitelerinde nöbet tutabilir. Bu tabiplerin nöbet listesi aylık olarak düzenlenir ve Müdürlükçe onaylanır.”</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inherit" w:eastAsia="Times New Roman" w:hAnsi="inherit" w:cs="Times New Roman"/>
          <w:b/>
          <w:bCs/>
          <w:color w:val="000000"/>
          <w:sz w:val="18"/>
          <w:szCs w:val="18"/>
          <w:lang w:eastAsia="tr-TR"/>
        </w:rPr>
        <w:t>MADDE 20 – </w:t>
      </w:r>
      <w:r w:rsidRPr="00A53359">
        <w:rPr>
          <w:rFonts w:ascii="Verdana" w:eastAsia="Times New Roman" w:hAnsi="Verdana" w:cs="Times New Roman"/>
          <w:color w:val="000000"/>
          <w:sz w:val="18"/>
          <w:szCs w:val="18"/>
          <w:lang w:eastAsia="tr-TR"/>
        </w:rPr>
        <w:t>Aynı Yönetmeliğin geçici 2 nci maddesinin ikinci, dördüncü, beşinci, sekizinci, dokuzuncu, onuncu ve on birinci fıkraları yürürlükten kaldırılmıştır.</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inherit" w:eastAsia="Times New Roman" w:hAnsi="inherit" w:cs="Times New Roman"/>
          <w:b/>
          <w:bCs/>
          <w:color w:val="000000"/>
          <w:sz w:val="18"/>
          <w:szCs w:val="18"/>
          <w:lang w:eastAsia="tr-TR"/>
        </w:rPr>
        <w:t>MADDE 21 – </w:t>
      </w:r>
      <w:r w:rsidRPr="00A53359">
        <w:rPr>
          <w:rFonts w:ascii="Verdana" w:eastAsia="Times New Roman" w:hAnsi="Verdana" w:cs="Times New Roman"/>
          <w:color w:val="000000"/>
          <w:sz w:val="18"/>
          <w:szCs w:val="18"/>
          <w:lang w:eastAsia="tr-TR"/>
        </w:rPr>
        <w:t>Aynı Yönetmeliğin mülga geçici 3 üncü maddesi aşağıdaki şekilde yeniden düzenlenmiştir.</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w:t>
      </w:r>
      <w:r w:rsidRPr="00A53359">
        <w:rPr>
          <w:rFonts w:ascii="inherit" w:eastAsia="Times New Roman" w:hAnsi="inherit" w:cs="Times New Roman"/>
          <w:b/>
          <w:bCs/>
          <w:color w:val="000000"/>
          <w:sz w:val="18"/>
          <w:szCs w:val="18"/>
          <w:lang w:eastAsia="tr-TR"/>
        </w:rPr>
        <w:t>GEÇİCİ MADDE 3 –</w:t>
      </w:r>
      <w:r w:rsidRPr="00A53359">
        <w:rPr>
          <w:rFonts w:ascii="Verdana" w:eastAsia="Times New Roman" w:hAnsi="Verdana" w:cs="Times New Roman"/>
          <w:color w:val="000000"/>
          <w:sz w:val="18"/>
          <w:szCs w:val="18"/>
          <w:lang w:eastAsia="tr-TR"/>
        </w:rPr>
        <w:t> (1) Bu maddede geçen;</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a) A tipi tıp merkezi, 11/7/2013 tarihli ve 28704 sayılı Resmî Gazete’de yayımlanan Ayakta Teşhis ve Tedavi Yapılan Özel Sağlık Kuruluşları Hakkında Yönetmelikte Değişiklik Yapılmasına Dair Yönetmelik sonrası Bakanlıkça A tipi tıp merkezi olarak ruhsatlandırılmış olup faaliyetlerine devam eden tıp merkezlerini,</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b) B tipi tıp merkezi, 11/7/2013 tarihli ve 28704 sayılı Resmî Gazete’de yayımlanan Ayakta Teşhis ve Tedavi Yapılan Özel Sağlık Kuruluşları Hakkında Yönetmelikte Değişiklik Yapılmasına Dair Yönetmelik sonrası Bakanlıkça B tipi tıp merkezi olarak ruhsatlandırılmış olup faaliyetlerine devam eden tıp merkezlerini,</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c) C tipi tıp merkezi, 9/3/2000 tarihli ve 23988 sayılı Resmî Gazete’de yayımlanan mülga Ayakta Teşhis ve Tedavi Yapılan Özel Sağlık Kuruluşları Hakkında Yönetmeliğe göre açılarak faaliyet gösteren tıp merkezlerini,</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ifade eder.</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(2) Bu maddenin yürürlüğe girdiği tarihten önce Bakanlıkça ruhsatlandırılmış A tipi, B tipi ve C tipi tıp merkezleri bu maddenin yürürlüğe girdiği tarihteki mevcut halleriyle faaliyetlerine devam ederler. Bu kuruluşlara mevcut halleriyle devam ettikleri müddetçe yeni ünite, birim ve uzman hekim kadrosu ilavesine izin verilmez.</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lastRenderedPageBreak/>
        <w:t>(3) Bu maddenin yürürlüğe girdiği tarihten önce ruhsatlandırılmış A tipi, B tipi ve C tipi tıp merkezlerine mevcut yerlerinde bu Yönetmelikte yer alan tıp merkezi için gerekli olan şartları sağlamak kaydıyla yeni tıp merkezi ruhsatı düzenlenir.  Ancak bu kuruluşlar en az iki bin metrekare toplam kapalı alana sahip olma şartından muaf olup, iki yıl içerisinde en az iki uzmanlık dalında on uzman hekim kadro şartını sağlamak zorundadırlar. Gerekli asgari uzman tabip kadrolarını sağlamak için, aynı il içinde bulunan diğer özel sağlık kuruluşlarından ya da uzman tabip dağılımı yönünden daha yüksek yoğunluklu illerden daha az yoğunluklu illere olacak şekilde farklı bir ilden uzman tabip kadrosu devir alınmasına izin verilir. Ancak uzman hekim kadrosunu devretmek isteyen özel sağlık kuruluşunun kadro devri sonrası uzman hekim kadro sayısının dördün altına düşmesi durumunda uzman hekim kadro devrine izin verilmez.</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(4) Bu maddenin yürürlüğe girdiği tarihten önce ruhsatlandırılmış B tipi ve C tipi tıp merkezlerinden en az ikisi bu Yönetmelikte tıp merkezi için gerekli olan asgari bina ve personel şartlarını birleşerek sağlamaları halinde tıp merkezine dönüşebilir. Birleşme işlemi tamamlanan özel sağlık kuruluşları tekrar ayrılma talebinde bulunamaz. Birleşerek dönüşmesi Bakanlıkça uygun görülen tıp merkezi, iki yıl içerisinde ön izin belgesi almak ve ön izin tarihinden itibaren üç yıl içerisinde ruhsat almak zorundadır. Bu süre içerisinde sağlık kuruluşu, faaliyetine mevcut haliyle devam edebilir veya faaliyetini askıya alabilir ve Müdürlüğe tebligat adresi bildirerek kuruluş binasını boşaltabilir. Dönüşen tıp merkezine mevcut uzman hekim kadrosuna ilave olarak, birleştirilen ruhsat sayısı kadar Bakanlıkça planlama kapsamında uygun görülen uzman hekim kadrosu ruhsatlandırma aşamasında verilir. </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(5) Bu madde kapsamında yeniden ruhsat düzenlenecek tıp merkezlerinden bir defaya mahsus ruhsat harcı alınmaz.”</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inherit" w:eastAsia="Times New Roman" w:hAnsi="inherit" w:cs="Times New Roman"/>
          <w:b/>
          <w:bCs/>
          <w:color w:val="000000"/>
          <w:sz w:val="18"/>
          <w:szCs w:val="18"/>
          <w:lang w:eastAsia="tr-TR"/>
        </w:rPr>
        <w:t>MADDE 22 –</w:t>
      </w:r>
      <w:r w:rsidRPr="00A53359">
        <w:rPr>
          <w:rFonts w:ascii="Verdana" w:eastAsia="Times New Roman" w:hAnsi="Verdana" w:cs="Times New Roman"/>
          <w:color w:val="000000"/>
          <w:sz w:val="18"/>
          <w:szCs w:val="18"/>
          <w:lang w:eastAsia="tr-TR"/>
        </w:rPr>
        <w:t> Aynı Yönetmeliğin geçici 12 nci maddesine aşağıdaki fıkra eklenmiştir.</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“(5) Bu fıkrayı ihdas eden Yönetmeliğin yürürlüğe girdiği tarihten önce yürürlükte bulunan bu Yönetmeliğin ek 1 inci maddesinin on sekizinci fıkrası kapsamında kurumsal sözleşme ile çalışanların sözleşmeleri en geç 30/6/2020 tarihinde sona erer.”</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inherit" w:eastAsia="Times New Roman" w:hAnsi="inherit" w:cs="Times New Roman"/>
          <w:b/>
          <w:bCs/>
          <w:color w:val="000000"/>
          <w:sz w:val="18"/>
          <w:szCs w:val="18"/>
          <w:lang w:eastAsia="tr-TR"/>
        </w:rPr>
        <w:t>MADDE 23 – </w:t>
      </w:r>
      <w:r w:rsidRPr="00A53359">
        <w:rPr>
          <w:rFonts w:ascii="Verdana" w:eastAsia="Times New Roman" w:hAnsi="Verdana" w:cs="Times New Roman"/>
          <w:color w:val="000000"/>
          <w:sz w:val="18"/>
          <w:szCs w:val="18"/>
          <w:lang w:eastAsia="tr-TR"/>
        </w:rPr>
        <w:t>Aynı Yönetmeliğin eki Ek-9 ekteki şekilde değiştirilmiştir.</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inherit" w:eastAsia="Times New Roman" w:hAnsi="inherit" w:cs="Times New Roman"/>
          <w:b/>
          <w:bCs/>
          <w:color w:val="000000"/>
          <w:sz w:val="18"/>
          <w:szCs w:val="18"/>
          <w:lang w:eastAsia="tr-TR"/>
        </w:rPr>
        <w:t>MADDE 24 –</w:t>
      </w:r>
      <w:r w:rsidRPr="00A53359">
        <w:rPr>
          <w:rFonts w:ascii="Verdana" w:eastAsia="Times New Roman" w:hAnsi="Verdana" w:cs="Times New Roman"/>
          <w:color w:val="000000"/>
          <w:sz w:val="18"/>
          <w:szCs w:val="18"/>
          <w:lang w:eastAsia="tr-TR"/>
        </w:rPr>
        <w:t> Aynı Yönetmeliğe EK-14’ten sonra gelmek üzere ekteki EK-15 eklenmiştir.</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inherit" w:eastAsia="Times New Roman" w:hAnsi="inherit" w:cs="Times New Roman"/>
          <w:b/>
          <w:bCs/>
          <w:color w:val="000000"/>
          <w:sz w:val="18"/>
          <w:szCs w:val="18"/>
          <w:lang w:eastAsia="tr-TR"/>
        </w:rPr>
        <w:t>MADDE 25 –</w:t>
      </w:r>
      <w:r w:rsidRPr="00A53359">
        <w:rPr>
          <w:rFonts w:ascii="Verdana" w:eastAsia="Times New Roman" w:hAnsi="Verdana" w:cs="Times New Roman"/>
          <w:color w:val="000000"/>
          <w:sz w:val="18"/>
          <w:szCs w:val="18"/>
          <w:lang w:eastAsia="tr-TR"/>
        </w:rPr>
        <w:t> Bu Yönetmelik yayımı tarihinde yürürlüğe girer.</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inherit" w:eastAsia="Times New Roman" w:hAnsi="inherit" w:cs="Times New Roman"/>
          <w:b/>
          <w:bCs/>
          <w:color w:val="000000"/>
          <w:sz w:val="18"/>
          <w:szCs w:val="18"/>
          <w:lang w:eastAsia="tr-TR"/>
        </w:rPr>
        <w:t>MADDE 26 –</w:t>
      </w:r>
      <w:r w:rsidRPr="00A53359">
        <w:rPr>
          <w:rFonts w:ascii="Verdana" w:eastAsia="Times New Roman" w:hAnsi="Verdana" w:cs="Times New Roman"/>
          <w:color w:val="000000"/>
          <w:sz w:val="18"/>
          <w:szCs w:val="18"/>
          <w:lang w:eastAsia="tr-TR"/>
        </w:rPr>
        <w:t> Bu Yönetmelik hükümlerini Sağlık Bakanı yürütür.</w:t>
      </w:r>
    </w:p>
    <w:p w:rsidR="00A53359" w:rsidRPr="00A53359" w:rsidRDefault="00A53359" w:rsidP="00A53359">
      <w:pPr>
        <w:shd w:val="clear" w:color="auto" w:fill="FFFFFF"/>
        <w:spacing w:after="150" w:line="240" w:lineRule="auto"/>
        <w:jc w:val="both"/>
        <w:rPr>
          <w:rFonts w:ascii="Verdana" w:eastAsia="Times New Roman" w:hAnsi="Verdana" w:cs="Times New Roman"/>
          <w:color w:val="0F0F0F"/>
          <w:sz w:val="18"/>
          <w:szCs w:val="18"/>
          <w:lang w:eastAsia="tr-TR"/>
        </w:rPr>
      </w:pPr>
      <w:r w:rsidRPr="00A53359">
        <w:rPr>
          <w:rFonts w:ascii="Verdana" w:eastAsia="Times New Roman" w:hAnsi="Verdana" w:cs="Times New Roman"/>
          <w:color w:val="0F0F0F"/>
          <w:sz w:val="18"/>
          <w:szCs w:val="18"/>
          <w:lang w:eastAsia="tr-TR"/>
        </w:rPr>
        <w:t> </w:t>
      </w:r>
    </w:p>
    <w:tbl>
      <w:tblPr>
        <w:tblW w:w="8505" w:type="dxa"/>
        <w:tblBorders>
          <w:top w:val="single" w:sz="8" w:space="0" w:color="auto"/>
          <w:left w:val="single" w:sz="8" w:space="0" w:color="auto"/>
          <w:bottom w:val="single" w:sz="8" w:space="0" w:color="auto"/>
          <w:right w:val="single" w:sz="8"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37"/>
        <w:gridCol w:w="3817"/>
        <w:gridCol w:w="4251"/>
      </w:tblGrid>
      <w:tr w:rsidR="00A53359" w:rsidRPr="00A53359" w:rsidTr="00A53359">
        <w:tc>
          <w:tcPr>
            <w:tcW w:w="8505" w:type="dxa"/>
            <w:gridSpan w:val="3"/>
            <w:tcBorders>
              <w:top w:val="single" w:sz="8" w:space="0" w:color="auto"/>
              <w:left w:val="single" w:sz="8" w:space="0" w:color="auto"/>
              <w:bottom w:val="nil"/>
              <w:right w:val="single" w:sz="8" w:space="0" w:color="auto"/>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inherit" w:eastAsia="Times New Roman" w:hAnsi="inherit" w:cs="Times New Roman"/>
                <w:b/>
                <w:bCs/>
                <w:color w:val="000000"/>
                <w:sz w:val="18"/>
                <w:szCs w:val="18"/>
                <w:lang w:eastAsia="tr-TR"/>
              </w:rPr>
              <w:t>Yönetmeliğin Yayımlandığı Resmî Gazete'nin</w:t>
            </w:r>
          </w:p>
        </w:tc>
      </w:tr>
      <w:tr w:rsidR="00A53359" w:rsidRPr="00A53359" w:rsidTr="00A53359">
        <w:tc>
          <w:tcPr>
            <w:tcW w:w="4254" w:type="dxa"/>
            <w:gridSpan w:val="2"/>
            <w:tcBorders>
              <w:top w:val="nil"/>
              <w:left w:val="single" w:sz="8" w:space="0" w:color="auto"/>
              <w:bottom w:val="single" w:sz="8" w:space="0" w:color="auto"/>
              <w:right w:val="nil"/>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inherit" w:eastAsia="Times New Roman" w:hAnsi="inherit" w:cs="Times New Roman"/>
                <w:b/>
                <w:bCs/>
                <w:color w:val="000000"/>
                <w:sz w:val="18"/>
                <w:szCs w:val="18"/>
                <w:lang w:eastAsia="tr-TR"/>
              </w:rPr>
              <w:t>Tarihi</w:t>
            </w:r>
          </w:p>
        </w:tc>
        <w:tc>
          <w:tcPr>
            <w:tcW w:w="4251"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inherit" w:eastAsia="Times New Roman" w:hAnsi="inherit" w:cs="Times New Roman"/>
                <w:b/>
                <w:bCs/>
                <w:color w:val="000000"/>
                <w:sz w:val="18"/>
                <w:szCs w:val="18"/>
                <w:lang w:eastAsia="tr-TR"/>
              </w:rPr>
              <w:t>Sayısı</w:t>
            </w:r>
          </w:p>
        </w:tc>
      </w:tr>
      <w:tr w:rsidR="00A53359" w:rsidRPr="00A53359" w:rsidTr="00A53359">
        <w:tc>
          <w:tcPr>
            <w:tcW w:w="4254" w:type="dxa"/>
            <w:gridSpan w:val="2"/>
            <w:tcBorders>
              <w:top w:val="nil"/>
              <w:left w:val="single" w:sz="8" w:space="0" w:color="auto"/>
              <w:bottom w:val="single" w:sz="8" w:space="0" w:color="auto"/>
              <w:right w:val="single" w:sz="8" w:space="0" w:color="auto"/>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15/2/2008</w:t>
            </w:r>
          </w:p>
        </w:tc>
        <w:tc>
          <w:tcPr>
            <w:tcW w:w="4251"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26788</w:t>
            </w:r>
          </w:p>
        </w:tc>
      </w:tr>
      <w:tr w:rsidR="00A53359" w:rsidRPr="00A53359" w:rsidTr="00A53359">
        <w:tc>
          <w:tcPr>
            <w:tcW w:w="8505" w:type="dxa"/>
            <w:gridSpan w:val="3"/>
            <w:tcBorders>
              <w:top w:val="nil"/>
              <w:left w:val="single" w:sz="8" w:space="0" w:color="auto"/>
              <w:bottom w:val="nil"/>
              <w:right w:val="single" w:sz="8" w:space="0" w:color="auto"/>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inherit" w:eastAsia="Times New Roman" w:hAnsi="inherit" w:cs="Times New Roman"/>
                <w:b/>
                <w:bCs/>
                <w:color w:val="000000"/>
                <w:sz w:val="18"/>
                <w:szCs w:val="18"/>
                <w:lang w:eastAsia="tr-TR"/>
              </w:rPr>
              <w:t>Yönetmelikte Değişiklik Yapan Yönetmeliklerin Yayımlandığı Resmî Gazete'nin</w:t>
            </w:r>
          </w:p>
        </w:tc>
      </w:tr>
      <w:tr w:rsidR="00A53359" w:rsidRPr="00A53359" w:rsidTr="00A53359">
        <w:tc>
          <w:tcPr>
            <w:tcW w:w="4254" w:type="dxa"/>
            <w:gridSpan w:val="2"/>
            <w:tcBorders>
              <w:top w:val="nil"/>
              <w:left w:val="single" w:sz="8" w:space="0" w:color="auto"/>
              <w:bottom w:val="single" w:sz="8" w:space="0" w:color="auto"/>
              <w:right w:val="nil"/>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inherit" w:eastAsia="Times New Roman" w:hAnsi="inherit" w:cs="Times New Roman"/>
                <w:b/>
                <w:bCs/>
                <w:color w:val="000000"/>
                <w:sz w:val="18"/>
                <w:szCs w:val="18"/>
                <w:lang w:eastAsia="tr-TR"/>
              </w:rPr>
              <w:t>Tarihi</w:t>
            </w:r>
          </w:p>
        </w:tc>
        <w:tc>
          <w:tcPr>
            <w:tcW w:w="4251"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inherit" w:eastAsia="Times New Roman" w:hAnsi="inherit" w:cs="Times New Roman"/>
                <w:b/>
                <w:bCs/>
                <w:color w:val="000000"/>
                <w:sz w:val="18"/>
                <w:szCs w:val="18"/>
                <w:lang w:eastAsia="tr-TR"/>
              </w:rPr>
              <w:t>Sayısı</w:t>
            </w:r>
          </w:p>
        </w:tc>
      </w:tr>
      <w:tr w:rsidR="00A53359" w:rsidRPr="00A53359" w:rsidTr="00A53359">
        <w:tc>
          <w:tcPr>
            <w:tcW w:w="437" w:type="dxa"/>
            <w:tcBorders>
              <w:top w:val="nil"/>
              <w:left w:val="single" w:sz="8" w:space="0" w:color="auto"/>
              <w:bottom w:val="single" w:sz="8" w:space="0" w:color="auto"/>
              <w:right w:val="single" w:sz="8" w:space="0" w:color="auto"/>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1-</w:t>
            </w:r>
          </w:p>
        </w:tc>
        <w:tc>
          <w:tcPr>
            <w:tcW w:w="3817"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23/7/2008</w:t>
            </w:r>
          </w:p>
        </w:tc>
        <w:tc>
          <w:tcPr>
            <w:tcW w:w="4251"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26945</w:t>
            </w:r>
          </w:p>
        </w:tc>
      </w:tr>
      <w:tr w:rsidR="00A53359" w:rsidRPr="00A53359" w:rsidTr="00A53359">
        <w:tc>
          <w:tcPr>
            <w:tcW w:w="437" w:type="dxa"/>
            <w:tcBorders>
              <w:top w:val="nil"/>
              <w:left w:val="single" w:sz="8" w:space="0" w:color="auto"/>
              <w:bottom w:val="single" w:sz="8" w:space="0" w:color="auto"/>
              <w:right w:val="single" w:sz="8" w:space="0" w:color="auto"/>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2-</w:t>
            </w:r>
          </w:p>
        </w:tc>
        <w:tc>
          <w:tcPr>
            <w:tcW w:w="3817"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11/3/2009</w:t>
            </w:r>
          </w:p>
        </w:tc>
        <w:tc>
          <w:tcPr>
            <w:tcW w:w="4251"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27166</w:t>
            </w:r>
          </w:p>
        </w:tc>
      </w:tr>
      <w:tr w:rsidR="00A53359" w:rsidRPr="00A53359" w:rsidTr="00A53359">
        <w:tc>
          <w:tcPr>
            <w:tcW w:w="437" w:type="dxa"/>
            <w:tcBorders>
              <w:top w:val="nil"/>
              <w:left w:val="single" w:sz="8" w:space="0" w:color="auto"/>
              <w:bottom w:val="single" w:sz="8" w:space="0" w:color="auto"/>
              <w:right w:val="single" w:sz="8" w:space="0" w:color="auto"/>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3-</w:t>
            </w:r>
          </w:p>
        </w:tc>
        <w:tc>
          <w:tcPr>
            <w:tcW w:w="3817"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31/12/2009</w:t>
            </w:r>
          </w:p>
        </w:tc>
        <w:tc>
          <w:tcPr>
            <w:tcW w:w="4251"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                      27449 (5. Mükerrer)</w:t>
            </w:r>
          </w:p>
        </w:tc>
      </w:tr>
      <w:tr w:rsidR="00A53359" w:rsidRPr="00A53359" w:rsidTr="00A53359">
        <w:tc>
          <w:tcPr>
            <w:tcW w:w="437" w:type="dxa"/>
            <w:tcBorders>
              <w:top w:val="nil"/>
              <w:left w:val="single" w:sz="8" w:space="0" w:color="auto"/>
              <w:bottom w:val="single" w:sz="8" w:space="0" w:color="auto"/>
              <w:right w:val="single" w:sz="8" w:space="0" w:color="auto"/>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4-</w:t>
            </w:r>
          </w:p>
        </w:tc>
        <w:tc>
          <w:tcPr>
            <w:tcW w:w="3817"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10/3/2010</w:t>
            </w:r>
          </w:p>
        </w:tc>
        <w:tc>
          <w:tcPr>
            <w:tcW w:w="4251"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27517</w:t>
            </w:r>
          </w:p>
        </w:tc>
      </w:tr>
      <w:tr w:rsidR="00A53359" w:rsidRPr="00A53359" w:rsidTr="00A53359">
        <w:tc>
          <w:tcPr>
            <w:tcW w:w="437" w:type="dxa"/>
            <w:tcBorders>
              <w:top w:val="nil"/>
              <w:left w:val="single" w:sz="8" w:space="0" w:color="auto"/>
              <w:bottom w:val="single" w:sz="8" w:space="0" w:color="auto"/>
              <w:right w:val="single" w:sz="8" w:space="0" w:color="auto"/>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5-</w:t>
            </w:r>
          </w:p>
        </w:tc>
        <w:tc>
          <w:tcPr>
            <w:tcW w:w="3817"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3/8/2010</w:t>
            </w:r>
          </w:p>
        </w:tc>
        <w:tc>
          <w:tcPr>
            <w:tcW w:w="4251"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27661</w:t>
            </w:r>
          </w:p>
        </w:tc>
      </w:tr>
      <w:tr w:rsidR="00A53359" w:rsidRPr="00A53359" w:rsidTr="00A53359">
        <w:tc>
          <w:tcPr>
            <w:tcW w:w="437" w:type="dxa"/>
            <w:tcBorders>
              <w:top w:val="nil"/>
              <w:left w:val="single" w:sz="8" w:space="0" w:color="auto"/>
              <w:bottom w:val="single" w:sz="8" w:space="0" w:color="auto"/>
              <w:right w:val="single" w:sz="8" w:space="0" w:color="auto"/>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6-</w:t>
            </w:r>
          </w:p>
        </w:tc>
        <w:tc>
          <w:tcPr>
            <w:tcW w:w="3817"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25/9/2010</w:t>
            </w:r>
          </w:p>
        </w:tc>
        <w:tc>
          <w:tcPr>
            <w:tcW w:w="4251"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27710</w:t>
            </w:r>
          </w:p>
        </w:tc>
      </w:tr>
      <w:tr w:rsidR="00A53359" w:rsidRPr="00A53359" w:rsidTr="00A53359">
        <w:tc>
          <w:tcPr>
            <w:tcW w:w="437" w:type="dxa"/>
            <w:tcBorders>
              <w:top w:val="nil"/>
              <w:left w:val="single" w:sz="8" w:space="0" w:color="auto"/>
              <w:bottom w:val="single" w:sz="8" w:space="0" w:color="auto"/>
              <w:right w:val="single" w:sz="8" w:space="0" w:color="auto"/>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7-</w:t>
            </w:r>
          </w:p>
        </w:tc>
        <w:tc>
          <w:tcPr>
            <w:tcW w:w="3817"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6/1/2011</w:t>
            </w:r>
          </w:p>
        </w:tc>
        <w:tc>
          <w:tcPr>
            <w:tcW w:w="4251"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27807</w:t>
            </w:r>
          </w:p>
        </w:tc>
      </w:tr>
      <w:tr w:rsidR="00A53359" w:rsidRPr="00A53359" w:rsidTr="00A53359">
        <w:tc>
          <w:tcPr>
            <w:tcW w:w="437" w:type="dxa"/>
            <w:tcBorders>
              <w:top w:val="nil"/>
              <w:left w:val="single" w:sz="8" w:space="0" w:color="auto"/>
              <w:bottom w:val="single" w:sz="8" w:space="0" w:color="auto"/>
              <w:right w:val="single" w:sz="8" w:space="0" w:color="auto"/>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8-</w:t>
            </w:r>
          </w:p>
        </w:tc>
        <w:tc>
          <w:tcPr>
            <w:tcW w:w="3817"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7/4/2011</w:t>
            </w:r>
          </w:p>
        </w:tc>
        <w:tc>
          <w:tcPr>
            <w:tcW w:w="4251"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27898</w:t>
            </w:r>
          </w:p>
        </w:tc>
      </w:tr>
      <w:tr w:rsidR="00A53359" w:rsidRPr="00A53359" w:rsidTr="00A53359">
        <w:tc>
          <w:tcPr>
            <w:tcW w:w="437" w:type="dxa"/>
            <w:tcBorders>
              <w:top w:val="nil"/>
              <w:left w:val="single" w:sz="8" w:space="0" w:color="auto"/>
              <w:bottom w:val="single" w:sz="8" w:space="0" w:color="auto"/>
              <w:right w:val="single" w:sz="8" w:space="0" w:color="auto"/>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9-</w:t>
            </w:r>
          </w:p>
        </w:tc>
        <w:tc>
          <w:tcPr>
            <w:tcW w:w="3817"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3/8/2011</w:t>
            </w:r>
          </w:p>
        </w:tc>
        <w:tc>
          <w:tcPr>
            <w:tcW w:w="4251"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28014</w:t>
            </w:r>
          </w:p>
        </w:tc>
      </w:tr>
      <w:tr w:rsidR="00A53359" w:rsidRPr="00A53359" w:rsidTr="00A53359">
        <w:tc>
          <w:tcPr>
            <w:tcW w:w="437" w:type="dxa"/>
            <w:tcBorders>
              <w:top w:val="nil"/>
              <w:left w:val="single" w:sz="8" w:space="0" w:color="auto"/>
              <w:bottom w:val="single" w:sz="8" w:space="0" w:color="auto"/>
              <w:right w:val="single" w:sz="8" w:space="0" w:color="auto"/>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lastRenderedPageBreak/>
              <w:t>10-</w:t>
            </w:r>
          </w:p>
        </w:tc>
        <w:tc>
          <w:tcPr>
            <w:tcW w:w="3817"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28/9/2011</w:t>
            </w:r>
          </w:p>
        </w:tc>
        <w:tc>
          <w:tcPr>
            <w:tcW w:w="4251"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28068</w:t>
            </w:r>
          </w:p>
        </w:tc>
      </w:tr>
      <w:tr w:rsidR="00A53359" w:rsidRPr="00A53359" w:rsidTr="00A53359">
        <w:tc>
          <w:tcPr>
            <w:tcW w:w="437" w:type="dxa"/>
            <w:tcBorders>
              <w:top w:val="nil"/>
              <w:left w:val="single" w:sz="8" w:space="0" w:color="auto"/>
              <w:bottom w:val="single" w:sz="8" w:space="0" w:color="auto"/>
              <w:right w:val="single" w:sz="8" w:space="0" w:color="auto"/>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11-</w:t>
            </w:r>
          </w:p>
        </w:tc>
        <w:tc>
          <w:tcPr>
            <w:tcW w:w="3817"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14/2/2012</w:t>
            </w:r>
          </w:p>
        </w:tc>
        <w:tc>
          <w:tcPr>
            <w:tcW w:w="4251"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28204</w:t>
            </w:r>
          </w:p>
        </w:tc>
      </w:tr>
      <w:tr w:rsidR="00A53359" w:rsidRPr="00A53359" w:rsidTr="00A53359">
        <w:tc>
          <w:tcPr>
            <w:tcW w:w="437" w:type="dxa"/>
            <w:tcBorders>
              <w:top w:val="nil"/>
              <w:left w:val="single" w:sz="8" w:space="0" w:color="auto"/>
              <w:bottom w:val="single" w:sz="8" w:space="0" w:color="auto"/>
              <w:right w:val="single" w:sz="8" w:space="0" w:color="auto"/>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12-</w:t>
            </w:r>
          </w:p>
        </w:tc>
        <w:tc>
          <w:tcPr>
            <w:tcW w:w="3817"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3/4/2012</w:t>
            </w:r>
          </w:p>
        </w:tc>
        <w:tc>
          <w:tcPr>
            <w:tcW w:w="4251"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28253</w:t>
            </w:r>
          </w:p>
        </w:tc>
      </w:tr>
      <w:tr w:rsidR="00A53359" w:rsidRPr="00A53359" w:rsidTr="00A53359">
        <w:tc>
          <w:tcPr>
            <w:tcW w:w="437" w:type="dxa"/>
            <w:tcBorders>
              <w:top w:val="nil"/>
              <w:left w:val="single" w:sz="8" w:space="0" w:color="auto"/>
              <w:bottom w:val="single" w:sz="8" w:space="0" w:color="auto"/>
              <w:right w:val="single" w:sz="8" w:space="0" w:color="auto"/>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13-</w:t>
            </w:r>
          </w:p>
        </w:tc>
        <w:tc>
          <w:tcPr>
            <w:tcW w:w="3817"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27/5/2012</w:t>
            </w:r>
          </w:p>
        </w:tc>
        <w:tc>
          <w:tcPr>
            <w:tcW w:w="4251"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28305</w:t>
            </w:r>
          </w:p>
        </w:tc>
      </w:tr>
      <w:tr w:rsidR="00A53359" w:rsidRPr="00A53359" w:rsidTr="00A53359">
        <w:tc>
          <w:tcPr>
            <w:tcW w:w="437" w:type="dxa"/>
            <w:tcBorders>
              <w:top w:val="nil"/>
              <w:left w:val="single" w:sz="8" w:space="0" w:color="auto"/>
              <w:bottom w:val="single" w:sz="8" w:space="0" w:color="auto"/>
              <w:right w:val="single" w:sz="8" w:space="0" w:color="auto"/>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14-</w:t>
            </w:r>
          </w:p>
        </w:tc>
        <w:tc>
          <w:tcPr>
            <w:tcW w:w="3817"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11/7/2013</w:t>
            </w:r>
          </w:p>
        </w:tc>
        <w:tc>
          <w:tcPr>
            <w:tcW w:w="4251"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28704</w:t>
            </w:r>
          </w:p>
        </w:tc>
      </w:tr>
      <w:tr w:rsidR="00A53359" w:rsidRPr="00A53359" w:rsidTr="00A53359">
        <w:tc>
          <w:tcPr>
            <w:tcW w:w="437" w:type="dxa"/>
            <w:tcBorders>
              <w:top w:val="nil"/>
              <w:left w:val="single" w:sz="8" w:space="0" w:color="auto"/>
              <w:bottom w:val="single" w:sz="8" w:space="0" w:color="auto"/>
              <w:right w:val="single" w:sz="8" w:space="0" w:color="auto"/>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15-</w:t>
            </w:r>
          </w:p>
        </w:tc>
        <w:tc>
          <w:tcPr>
            <w:tcW w:w="3817"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21/3/2014</w:t>
            </w:r>
          </w:p>
        </w:tc>
        <w:tc>
          <w:tcPr>
            <w:tcW w:w="4251"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28948</w:t>
            </w:r>
          </w:p>
        </w:tc>
      </w:tr>
      <w:tr w:rsidR="00A53359" w:rsidRPr="00A53359" w:rsidTr="00A53359">
        <w:tc>
          <w:tcPr>
            <w:tcW w:w="437" w:type="dxa"/>
            <w:tcBorders>
              <w:top w:val="nil"/>
              <w:left w:val="single" w:sz="8" w:space="0" w:color="auto"/>
              <w:bottom w:val="single" w:sz="8" w:space="0" w:color="auto"/>
              <w:right w:val="single" w:sz="8" w:space="0" w:color="auto"/>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16-</w:t>
            </w:r>
          </w:p>
        </w:tc>
        <w:tc>
          <w:tcPr>
            <w:tcW w:w="3817"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3/7/2014</w:t>
            </w:r>
          </w:p>
        </w:tc>
        <w:tc>
          <w:tcPr>
            <w:tcW w:w="4251"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29049</w:t>
            </w:r>
          </w:p>
        </w:tc>
      </w:tr>
      <w:tr w:rsidR="00A53359" w:rsidRPr="00A53359" w:rsidTr="00A53359">
        <w:tc>
          <w:tcPr>
            <w:tcW w:w="437" w:type="dxa"/>
            <w:tcBorders>
              <w:top w:val="nil"/>
              <w:left w:val="single" w:sz="8" w:space="0" w:color="auto"/>
              <w:bottom w:val="single" w:sz="8" w:space="0" w:color="auto"/>
              <w:right w:val="single" w:sz="8" w:space="0" w:color="auto"/>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17-</w:t>
            </w:r>
          </w:p>
        </w:tc>
        <w:tc>
          <w:tcPr>
            <w:tcW w:w="3817"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30/1/2015</w:t>
            </w:r>
          </w:p>
        </w:tc>
        <w:tc>
          <w:tcPr>
            <w:tcW w:w="4251"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29252</w:t>
            </w:r>
          </w:p>
        </w:tc>
      </w:tr>
      <w:tr w:rsidR="00A53359" w:rsidRPr="00A53359" w:rsidTr="00A53359">
        <w:tc>
          <w:tcPr>
            <w:tcW w:w="437" w:type="dxa"/>
            <w:tcBorders>
              <w:top w:val="nil"/>
              <w:left w:val="single" w:sz="8" w:space="0" w:color="auto"/>
              <w:bottom w:val="single" w:sz="8" w:space="0" w:color="auto"/>
              <w:right w:val="single" w:sz="8" w:space="0" w:color="auto"/>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18-</w:t>
            </w:r>
          </w:p>
        </w:tc>
        <w:tc>
          <w:tcPr>
            <w:tcW w:w="3817"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12/12/2017</w:t>
            </w:r>
          </w:p>
        </w:tc>
        <w:tc>
          <w:tcPr>
            <w:tcW w:w="4251"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hideMark/>
          </w:tcPr>
          <w:p w:rsidR="00A53359" w:rsidRPr="00A53359" w:rsidRDefault="00A53359" w:rsidP="00A53359">
            <w:pPr>
              <w:spacing w:after="150" w:line="240" w:lineRule="auto"/>
              <w:jc w:val="center"/>
              <w:rPr>
                <w:rFonts w:ascii="Verdana" w:eastAsia="Times New Roman" w:hAnsi="Verdana" w:cs="Times New Roman"/>
                <w:color w:val="0F0F0F"/>
                <w:sz w:val="18"/>
                <w:szCs w:val="18"/>
                <w:lang w:eastAsia="tr-TR"/>
              </w:rPr>
            </w:pPr>
            <w:r w:rsidRPr="00A53359">
              <w:rPr>
                <w:rFonts w:ascii="Verdana" w:eastAsia="Times New Roman" w:hAnsi="Verdana" w:cs="Times New Roman"/>
                <w:color w:val="000000"/>
                <w:sz w:val="18"/>
                <w:szCs w:val="18"/>
                <w:lang w:eastAsia="tr-TR"/>
              </w:rPr>
              <w:t>30268</w:t>
            </w:r>
          </w:p>
        </w:tc>
      </w:tr>
    </w:tbl>
    <w:p w:rsidR="005921C5" w:rsidRDefault="005921C5">
      <w:bookmarkStart w:id="0" w:name="_GoBack"/>
      <w:bookmarkEnd w:id="0"/>
    </w:p>
    <w:sectPr w:rsidR="005921C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inherit">
    <w:altName w:val="Times New Roman"/>
    <w:panose1 w:val="00000000000000000000"/>
    <w:charset w:val="00"/>
    <w:family w:val="roman"/>
    <w:notTrueType/>
    <w:pitch w:val="default"/>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62E"/>
    <w:rsid w:val="005921C5"/>
    <w:rsid w:val="0094062E"/>
    <w:rsid w:val="00A533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2FA653-7477-471C-A306-4808EDF78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2300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2895</Words>
  <Characters>16504</Characters>
  <Application>Microsoft Office Word</Application>
  <DocSecurity>0</DocSecurity>
  <Lines>137</Lines>
  <Paragraphs>38</Paragraphs>
  <ScaleCrop>false</ScaleCrop>
  <Company/>
  <LinksUpToDate>false</LinksUpToDate>
  <CharactersWithSpaces>19361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2019-10-01T09:51:00Z</dcterms:created>
  <dcterms:modified xsi:type="dcterms:W3CDTF">2019-10-01T09:51:00Z</dcterms:modified>
</cp:coreProperties>
</file>